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86" w:rsidRPr="00EA5086" w:rsidRDefault="00EA5086" w:rsidP="00EA5086">
      <w:pPr>
        <w:spacing w:afterLines="50" w:after="156"/>
        <w:jc w:val="center"/>
        <w:rPr>
          <w:rFonts w:asciiTheme="minorEastAsia" w:hAnsiTheme="minorEastAsia" w:hint="eastAsia"/>
          <w:sz w:val="44"/>
          <w:szCs w:val="44"/>
        </w:rPr>
      </w:pPr>
      <w:bookmarkStart w:id="0" w:name="_GoBack"/>
      <w:r w:rsidRPr="00EA5086">
        <w:rPr>
          <w:rFonts w:asciiTheme="minorEastAsia" w:hAnsiTheme="minorEastAsia" w:hint="eastAsia"/>
          <w:sz w:val="44"/>
          <w:szCs w:val="44"/>
        </w:rPr>
        <w:t>2019年</w:t>
      </w:r>
      <w:r w:rsidRPr="00EA5086">
        <w:rPr>
          <w:rFonts w:asciiTheme="minorEastAsia" w:hAnsiTheme="minorEastAsia"/>
          <w:sz w:val="44"/>
          <w:szCs w:val="44"/>
        </w:rPr>
        <w:t>河南省社科联结项一览表</w:t>
      </w:r>
    </w:p>
    <w:tbl>
      <w:tblPr>
        <w:tblStyle w:val="a3"/>
        <w:tblW w:w="0" w:type="auto"/>
        <w:tblLook w:val="04A0" w:firstRow="1" w:lastRow="0" w:firstColumn="1" w:lastColumn="0" w:noHBand="0" w:noVBand="1"/>
      </w:tblPr>
      <w:tblGrid>
        <w:gridCol w:w="817"/>
        <w:gridCol w:w="2552"/>
        <w:gridCol w:w="8788"/>
        <w:gridCol w:w="2977"/>
      </w:tblGrid>
      <w:tr w:rsidR="00EA5086" w:rsidRPr="00EA5086" w:rsidTr="00EA5086">
        <w:trPr>
          <w:trHeight w:val="615"/>
        </w:trPr>
        <w:tc>
          <w:tcPr>
            <w:tcW w:w="817" w:type="dxa"/>
            <w:tcBorders>
              <w:top w:val="single" w:sz="4" w:space="0" w:color="auto"/>
            </w:tcBorders>
            <w:noWrap/>
            <w:vAlign w:val="center"/>
            <w:hideMark/>
          </w:tcPr>
          <w:bookmarkEnd w:id="0"/>
          <w:p w:rsidR="00EA5086" w:rsidRPr="00EA5086" w:rsidRDefault="00EA5086" w:rsidP="00E311B6">
            <w:pPr>
              <w:jc w:val="center"/>
              <w:rPr>
                <w:b/>
                <w:bCs/>
                <w:sz w:val="24"/>
                <w:szCs w:val="24"/>
              </w:rPr>
            </w:pPr>
            <w:r w:rsidRPr="00EA5086">
              <w:rPr>
                <w:rFonts w:hint="eastAsia"/>
                <w:b/>
                <w:bCs/>
                <w:sz w:val="24"/>
                <w:szCs w:val="24"/>
              </w:rPr>
              <w:t>序号</w:t>
            </w:r>
          </w:p>
        </w:tc>
        <w:tc>
          <w:tcPr>
            <w:tcW w:w="2552" w:type="dxa"/>
            <w:tcBorders>
              <w:top w:val="single" w:sz="4" w:space="0" w:color="auto"/>
            </w:tcBorders>
            <w:noWrap/>
            <w:vAlign w:val="center"/>
            <w:hideMark/>
          </w:tcPr>
          <w:p w:rsidR="00EA5086" w:rsidRPr="00EA5086" w:rsidRDefault="00EA5086" w:rsidP="00E311B6">
            <w:pPr>
              <w:jc w:val="center"/>
              <w:rPr>
                <w:b/>
                <w:bCs/>
                <w:sz w:val="24"/>
                <w:szCs w:val="24"/>
              </w:rPr>
            </w:pPr>
            <w:r w:rsidRPr="00EA5086">
              <w:rPr>
                <w:rFonts w:hint="eastAsia"/>
                <w:b/>
                <w:bCs/>
                <w:sz w:val="24"/>
                <w:szCs w:val="24"/>
              </w:rPr>
              <w:t>项目编号</w:t>
            </w:r>
          </w:p>
        </w:tc>
        <w:tc>
          <w:tcPr>
            <w:tcW w:w="8788" w:type="dxa"/>
            <w:tcBorders>
              <w:top w:val="single" w:sz="4" w:space="0" w:color="auto"/>
            </w:tcBorders>
            <w:noWrap/>
            <w:vAlign w:val="center"/>
            <w:hideMark/>
          </w:tcPr>
          <w:p w:rsidR="00EA5086" w:rsidRPr="00EA5086" w:rsidRDefault="00EA5086" w:rsidP="00E311B6">
            <w:pPr>
              <w:jc w:val="center"/>
              <w:rPr>
                <w:b/>
                <w:bCs/>
                <w:sz w:val="24"/>
                <w:szCs w:val="24"/>
              </w:rPr>
            </w:pPr>
            <w:r w:rsidRPr="00EA5086">
              <w:rPr>
                <w:rFonts w:hint="eastAsia"/>
                <w:b/>
                <w:bCs/>
                <w:sz w:val="24"/>
                <w:szCs w:val="24"/>
              </w:rPr>
              <w:t>课题名称</w:t>
            </w:r>
          </w:p>
        </w:tc>
        <w:tc>
          <w:tcPr>
            <w:tcW w:w="2977" w:type="dxa"/>
            <w:tcBorders>
              <w:top w:val="single" w:sz="4" w:space="0" w:color="auto"/>
            </w:tcBorders>
            <w:noWrap/>
            <w:vAlign w:val="center"/>
            <w:hideMark/>
          </w:tcPr>
          <w:p w:rsidR="00EA5086" w:rsidRPr="00EA5086" w:rsidRDefault="00EA5086" w:rsidP="00E311B6">
            <w:pPr>
              <w:jc w:val="center"/>
              <w:rPr>
                <w:b/>
                <w:bCs/>
                <w:sz w:val="24"/>
                <w:szCs w:val="24"/>
              </w:rPr>
            </w:pPr>
            <w:r w:rsidRPr="00EA5086">
              <w:rPr>
                <w:rFonts w:hint="eastAsia"/>
                <w:b/>
                <w:bCs/>
                <w:sz w:val="24"/>
                <w:szCs w:val="24"/>
              </w:rPr>
              <w:t>课题主持人</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生态文明视域下河南省之“青山”“绿水”现状调查</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王雪平</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SKL-2019-87</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新时代青年价值观培育机制研究</w:t>
            </w:r>
            <w:r w:rsidRPr="00EA5086">
              <w:rPr>
                <w:rFonts w:hint="eastAsia"/>
                <w:sz w:val="24"/>
                <w:szCs w:val="24"/>
              </w:rPr>
              <w:t>----</w:t>
            </w:r>
            <w:r w:rsidRPr="00EA5086">
              <w:rPr>
                <w:rFonts w:hint="eastAsia"/>
                <w:sz w:val="24"/>
                <w:szCs w:val="24"/>
              </w:rPr>
              <w:t>基于高校思想政治教育建设视角</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袁洪博</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SKL-2019-101</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高职院校“</w:t>
            </w:r>
            <w:r w:rsidRPr="00EA5086">
              <w:rPr>
                <w:rFonts w:hint="eastAsia"/>
                <w:sz w:val="24"/>
                <w:szCs w:val="24"/>
              </w:rPr>
              <w:t>00</w:t>
            </w:r>
            <w:r w:rsidRPr="00EA5086">
              <w:rPr>
                <w:rFonts w:hint="eastAsia"/>
                <w:sz w:val="24"/>
                <w:szCs w:val="24"/>
              </w:rPr>
              <w:t>后”大学生奋斗观</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胡晓慧</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SKL-2019-195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新时代高职院校基层党建与思想政治教育协同育人研究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王崇景</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SKL-2019-308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高校基层党组织网络思想阵地建设研究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耿风</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SKL-2019-309</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高校意识形态网络阵地建设研究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殷莺</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SKL-2019-495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“互联网</w:t>
            </w:r>
            <w:r w:rsidRPr="00EA5086">
              <w:rPr>
                <w:rFonts w:hint="eastAsia"/>
                <w:sz w:val="24"/>
                <w:szCs w:val="24"/>
              </w:rPr>
              <w:t>+</w:t>
            </w:r>
            <w:r w:rsidRPr="00EA5086">
              <w:rPr>
                <w:rFonts w:hint="eastAsia"/>
                <w:sz w:val="24"/>
                <w:szCs w:val="24"/>
              </w:rPr>
              <w:t>”对人们生活方式的影响研究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张校慧</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SKL-2019-504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大学生“低头族”现状及治理方法研究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李红娟</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9</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SKL-2019-510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互联网对大学生消费行为的影响研究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王永强</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SKL-2019-520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信息化背景下手机对大学生学业成绩影响的实例研究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冯屾</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SKL-2019-528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河南省居家养老服务的现状、问题及对策研究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王妍</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SKL-2019-547</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河南省居家养老服务的现状、问题与对策研究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李璐</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SKL-2019-583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居家养老服务的现状问题与对策研究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程露</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SKL-2019-667</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“鼓圈”在社会心理服务中的应用研究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郭</w:t>
            </w:r>
            <w:proofErr w:type="gramEnd"/>
            <w:r w:rsidRPr="00EA5086">
              <w:rPr>
                <w:rFonts w:hint="eastAsia"/>
                <w:sz w:val="24"/>
                <w:szCs w:val="24"/>
              </w:rPr>
              <w:t>豪杰</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SKL-2019-697</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生育政策变迁下</w:t>
            </w:r>
            <w:proofErr w:type="gramStart"/>
            <w:r w:rsidRPr="00EA5086">
              <w:rPr>
                <w:rFonts w:hint="eastAsia"/>
                <w:sz w:val="24"/>
                <w:szCs w:val="24"/>
              </w:rPr>
              <w:t>失独家庭</w:t>
            </w:r>
            <w:proofErr w:type="gramEnd"/>
            <w:r w:rsidRPr="00EA5086">
              <w:rPr>
                <w:rFonts w:hint="eastAsia"/>
                <w:sz w:val="24"/>
                <w:szCs w:val="24"/>
              </w:rPr>
              <w:t>相对剥夺感及社会风险防范研究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王进</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lastRenderedPageBreak/>
              <w:t>16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SKL-2019-732</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新时代打造河南农村“三位一体”的社会综合治理研究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曹玉华</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SKL-2019-922</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“双一流”建设背景下高校图书馆服务创新研究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赵丽琴</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SKL-2019-977</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真人图书馆活动在大学生能力建设中的贡献研究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冯钊</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19</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SKL-2019-1000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大数据技术在城市历史文化遗产保护中的应用研究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李洋</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SKL-2019-1036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开封非物质文化遗产保护与传承的商业模式创新研究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李蒍韦</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SKL-2019-1084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“一带一路”视域下开封</w:t>
            </w:r>
            <w:proofErr w:type="gramStart"/>
            <w:r w:rsidRPr="00EA5086">
              <w:rPr>
                <w:rFonts w:hint="eastAsia"/>
                <w:sz w:val="24"/>
                <w:szCs w:val="24"/>
              </w:rPr>
              <w:t>宋文化</w:t>
            </w:r>
            <w:proofErr w:type="gramEnd"/>
            <w:r w:rsidRPr="00EA5086">
              <w:rPr>
                <w:rFonts w:hint="eastAsia"/>
                <w:sz w:val="24"/>
                <w:szCs w:val="24"/>
              </w:rPr>
              <w:t>建设与传播研究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胡艳娜</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SKL-2019-1103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河南民居地域性建筑文化特点及可持续发展研究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李思荟</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SKL-2019-1203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试论河南文</w:t>
            </w:r>
            <w:proofErr w:type="gramStart"/>
            <w:r w:rsidRPr="00EA5086">
              <w:rPr>
                <w:rFonts w:hint="eastAsia"/>
                <w:sz w:val="24"/>
                <w:szCs w:val="24"/>
              </w:rPr>
              <w:t>创产品</w:t>
            </w:r>
            <w:proofErr w:type="gramEnd"/>
            <w:r w:rsidRPr="00EA5086">
              <w:rPr>
                <w:rFonts w:hint="eastAsia"/>
                <w:sz w:val="24"/>
                <w:szCs w:val="24"/>
              </w:rPr>
              <w:t>的开发研究——以提升中原经济区文化</w:t>
            </w:r>
            <w:proofErr w:type="gramStart"/>
            <w:r w:rsidRPr="00EA5086">
              <w:rPr>
                <w:rFonts w:hint="eastAsia"/>
                <w:sz w:val="24"/>
                <w:szCs w:val="24"/>
              </w:rPr>
              <w:t>软实力</w:t>
            </w:r>
            <w:proofErr w:type="gramEnd"/>
            <w:r w:rsidRPr="00EA5086">
              <w:rPr>
                <w:rFonts w:hint="eastAsia"/>
                <w:sz w:val="24"/>
                <w:szCs w:val="24"/>
              </w:rPr>
              <w:t>为背景</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赵慧娟</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SKL-2019-1246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高职院校学生手机依赖对学习倦怠的影响及对策研究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刘娟</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SKL-2019-1516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体验式教学在高职英语视听说课程中的有效性研究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蔡蓓</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SKL-2019-1556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中国特色外语教学理论——“产出式教学法”在黄河水院的应用研究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郑瑾</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SKL-2019-1559</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中外合作办学背景下河南省高职双语教学现状与发展对策研究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邓桦</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SKL-2019-1571</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“一带一路”背景下对“外语</w:t>
            </w:r>
            <w:r w:rsidRPr="00EA5086">
              <w:rPr>
                <w:rFonts w:hint="eastAsia"/>
                <w:sz w:val="24"/>
                <w:szCs w:val="24"/>
              </w:rPr>
              <w:t>+</w:t>
            </w:r>
            <w:r w:rsidRPr="00EA5086">
              <w:rPr>
                <w:rFonts w:hint="eastAsia"/>
                <w:sz w:val="24"/>
                <w:szCs w:val="24"/>
              </w:rPr>
              <w:t>专业”复合型人才培养的研究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孟晶晶</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29</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SKL-2019-1589</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高职双语教师培训模式的研究与实践</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王爱琴</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SKL-2019-1621</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英语电影切入高职公共英语课堂的应用研究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刘海龙</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SKL-2019-1640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河南省自贸区双语公示</w:t>
            </w:r>
            <w:proofErr w:type="gramStart"/>
            <w:r w:rsidRPr="00EA5086">
              <w:rPr>
                <w:rFonts w:hint="eastAsia"/>
                <w:sz w:val="24"/>
                <w:szCs w:val="24"/>
              </w:rPr>
              <w:t>语导译</w:t>
            </w:r>
            <w:proofErr w:type="gramEnd"/>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顾哲</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SKL-2019-1654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中国文化“走出去”战略下“河南故事”的外译策略研究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卢俊青</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lastRenderedPageBreak/>
              <w:t>33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SKL-2019-1729</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河南民间美术非物质文化遗产传承与发展研究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陈豫</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SKL-2019-1785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电子商务模式下地域农产品包装设计研究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杨雪吟</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SKL-2019-1948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自媒体时代的声乐教育研究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李冰</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SKL-2019-1975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习近</w:t>
            </w:r>
            <w:proofErr w:type="gramStart"/>
            <w:r w:rsidRPr="00EA5086">
              <w:rPr>
                <w:rFonts w:hint="eastAsia"/>
                <w:sz w:val="24"/>
                <w:szCs w:val="24"/>
              </w:rPr>
              <w:t>平传统</w:t>
            </w:r>
            <w:proofErr w:type="gramEnd"/>
            <w:r w:rsidRPr="00EA5086">
              <w:rPr>
                <w:rFonts w:hint="eastAsia"/>
                <w:sz w:val="24"/>
                <w:szCs w:val="24"/>
              </w:rPr>
              <w:t>文化思想与高校思想政治教育融合研究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王瑶</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SKL-2019-1983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习近平新时代中国特色社会主义高等教育思想研究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戴玉</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sidRPr="00EA5086">
              <w:rPr>
                <w:rFonts w:hint="eastAsia"/>
                <w:sz w:val="24"/>
                <w:szCs w:val="24"/>
              </w:rPr>
              <w:t>38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SKL-2019-1989</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新时代高校思想政治教育的实效性研究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武香利</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Pr>
                <w:sz w:val="24"/>
                <w:szCs w:val="24"/>
              </w:rPr>
              <w:t>39</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SKL-2019-2032</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供给</w:t>
            </w:r>
            <w:proofErr w:type="gramStart"/>
            <w:r w:rsidRPr="00EA5086">
              <w:rPr>
                <w:rFonts w:hint="eastAsia"/>
                <w:sz w:val="24"/>
                <w:szCs w:val="24"/>
              </w:rPr>
              <w:t>侧改革</w:t>
            </w:r>
            <w:proofErr w:type="gramEnd"/>
            <w:r w:rsidRPr="00EA5086">
              <w:rPr>
                <w:rFonts w:hint="eastAsia"/>
                <w:sz w:val="24"/>
                <w:szCs w:val="24"/>
              </w:rPr>
              <w:t>视角下河南省高职院校毕业生就业问题研究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侯静</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SKL-2019-2105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乡村振兴背景下大学生双创培育机制研究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朱玮</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SKL-2019-2165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大学生信息化素养培育研究</w:t>
            </w:r>
            <w:r w:rsidRPr="00EA5086">
              <w:rPr>
                <w:rFonts w:hint="eastAsia"/>
                <w:sz w:val="24"/>
                <w:szCs w:val="24"/>
              </w:rPr>
              <w:t>---</w:t>
            </w:r>
            <w:r w:rsidRPr="00EA5086">
              <w:rPr>
                <w:rFonts w:hint="eastAsia"/>
                <w:sz w:val="24"/>
                <w:szCs w:val="24"/>
              </w:rPr>
              <w:t>基于计算机辅助语言学习视角</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王成伟</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SKL-2019-2194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大数据背景下河南高校大学生信息素养培育研究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苑伟娟</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SKL-2019-2223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高职学生信息化素养培育研究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丁燕</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SKL-2019-2224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高职学生综合素质“多元立体”量化评价模式研究与实践</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赵鹏</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SKL-2019-2239</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河南省大学生信息素养一体化教育体系研究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李华北</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SKL-2019-2256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基于智慧课堂的高职顶岗实习指导与管理模式探究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朱益兵</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4</w:t>
            </w:r>
            <w:r>
              <w:rPr>
                <w:sz w:val="24"/>
                <w:szCs w:val="24"/>
              </w:rPr>
              <w:t>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SKL-2019-2304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信息化背景下课堂笔记对大学生学业成绩影响的追踪研究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王超</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Pr>
                <w:sz w:val="24"/>
                <w:szCs w:val="24"/>
              </w:rPr>
              <w:t>48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SKL-2019-2306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信息化教育背景下大学生信息素养培养的研究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杨利国</w:t>
            </w:r>
          </w:p>
        </w:tc>
      </w:tr>
      <w:tr w:rsidR="00EA5086" w:rsidRPr="00EA5086" w:rsidTr="00EA5086">
        <w:trPr>
          <w:trHeight w:val="559"/>
        </w:trPr>
        <w:tc>
          <w:tcPr>
            <w:tcW w:w="817" w:type="dxa"/>
            <w:noWrap/>
            <w:vAlign w:val="center"/>
          </w:tcPr>
          <w:p w:rsidR="00EA5086" w:rsidRPr="00EA5086" w:rsidRDefault="00EA5086" w:rsidP="00EA5086">
            <w:pPr>
              <w:jc w:val="center"/>
              <w:rPr>
                <w:sz w:val="24"/>
                <w:szCs w:val="24"/>
              </w:rPr>
            </w:pPr>
            <w:r>
              <w:rPr>
                <w:sz w:val="24"/>
                <w:szCs w:val="24"/>
              </w:rPr>
              <w:t>49</w:t>
            </w:r>
          </w:p>
        </w:tc>
        <w:tc>
          <w:tcPr>
            <w:tcW w:w="2552" w:type="dxa"/>
            <w:noWrap/>
            <w:vAlign w:val="center"/>
          </w:tcPr>
          <w:p w:rsidR="00EA5086" w:rsidRPr="00EA5086" w:rsidRDefault="00EA5086" w:rsidP="00EA5086">
            <w:pPr>
              <w:jc w:val="center"/>
              <w:rPr>
                <w:sz w:val="24"/>
                <w:szCs w:val="24"/>
              </w:rPr>
            </w:pPr>
            <w:r w:rsidRPr="00EA5086">
              <w:rPr>
                <w:rFonts w:hint="eastAsia"/>
                <w:sz w:val="24"/>
                <w:szCs w:val="24"/>
              </w:rPr>
              <w:t>SKL-2019-3545</w:t>
            </w:r>
          </w:p>
        </w:tc>
        <w:tc>
          <w:tcPr>
            <w:tcW w:w="8788" w:type="dxa"/>
            <w:noWrap/>
            <w:vAlign w:val="center"/>
          </w:tcPr>
          <w:p w:rsidR="00EA5086" w:rsidRPr="00EA5086" w:rsidRDefault="00EA5086" w:rsidP="00EA5086">
            <w:pPr>
              <w:jc w:val="left"/>
              <w:rPr>
                <w:sz w:val="24"/>
                <w:szCs w:val="24"/>
              </w:rPr>
            </w:pPr>
            <w:r w:rsidRPr="00EA5086">
              <w:rPr>
                <w:rFonts w:hint="eastAsia"/>
                <w:sz w:val="24"/>
                <w:szCs w:val="24"/>
              </w:rPr>
              <w:t>绿色发展背景下河南省低碳社区构建与调控路径研究</w:t>
            </w:r>
          </w:p>
        </w:tc>
        <w:tc>
          <w:tcPr>
            <w:tcW w:w="2977" w:type="dxa"/>
            <w:noWrap/>
            <w:vAlign w:val="center"/>
          </w:tcPr>
          <w:p w:rsidR="00EA5086" w:rsidRPr="00EA5086" w:rsidRDefault="00EA5086" w:rsidP="00EA5086">
            <w:pPr>
              <w:jc w:val="center"/>
              <w:rPr>
                <w:sz w:val="24"/>
                <w:szCs w:val="24"/>
              </w:rPr>
            </w:pPr>
            <w:r w:rsidRPr="00EA5086">
              <w:rPr>
                <w:rFonts w:hint="eastAsia"/>
                <w:sz w:val="24"/>
                <w:szCs w:val="24"/>
              </w:rPr>
              <w:t>岳鹏</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lastRenderedPageBreak/>
              <w:t>5</w:t>
            </w:r>
            <w:r>
              <w:rPr>
                <w:sz w:val="24"/>
                <w:szCs w:val="24"/>
              </w:rPr>
              <w:t>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SKL-2019-2312</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移动学习平台在高职中外合作办学电气专业学生培养中的应用研究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高杨</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SKL-2019-2324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智慧教育下高职测绘</w:t>
            </w:r>
            <w:r w:rsidRPr="00EA5086">
              <w:rPr>
                <w:rFonts w:hint="eastAsia"/>
                <w:sz w:val="24"/>
                <w:szCs w:val="24"/>
              </w:rPr>
              <w:t>GIS</w:t>
            </w:r>
            <w:r w:rsidRPr="00EA5086">
              <w:rPr>
                <w:rFonts w:hint="eastAsia"/>
                <w:sz w:val="24"/>
                <w:szCs w:val="24"/>
              </w:rPr>
              <w:t>专业信息化教学研究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刘剑锋</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SKL-2019-2407</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基于互联网</w:t>
            </w:r>
            <w:r w:rsidRPr="00EA5086">
              <w:rPr>
                <w:rFonts w:hint="eastAsia"/>
                <w:sz w:val="24"/>
                <w:szCs w:val="24"/>
              </w:rPr>
              <w:t>+</w:t>
            </w:r>
            <w:r w:rsidRPr="00EA5086">
              <w:rPr>
                <w:rFonts w:hint="eastAsia"/>
                <w:sz w:val="24"/>
                <w:szCs w:val="24"/>
              </w:rPr>
              <w:t>的高职课程信息化</w:t>
            </w:r>
            <w:proofErr w:type="gramStart"/>
            <w:r w:rsidRPr="00EA5086">
              <w:rPr>
                <w:rFonts w:hint="eastAsia"/>
                <w:sz w:val="24"/>
                <w:szCs w:val="24"/>
              </w:rPr>
              <w:t>教学诊改的</w:t>
            </w:r>
            <w:proofErr w:type="gramEnd"/>
            <w:r w:rsidRPr="00EA5086">
              <w:rPr>
                <w:rFonts w:hint="eastAsia"/>
                <w:sz w:val="24"/>
                <w:szCs w:val="24"/>
              </w:rPr>
              <w:t>探索与研究——以《数字电路》为例</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高玲</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SKL-2019-2415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基于职业行动导向的胡格教学模式对高职学生职业能力培养的研究与探索</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张</w:t>
            </w:r>
            <w:proofErr w:type="gramStart"/>
            <w:r w:rsidRPr="00EA5086">
              <w:rPr>
                <w:rFonts w:hint="eastAsia"/>
                <w:sz w:val="24"/>
                <w:szCs w:val="24"/>
              </w:rPr>
              <w:t>研</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SKL-2019-2418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经济转型对食品专业学生就业观的影响研究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王海烽</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SKL-2019-2446</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信息化改革视域下“政产学研用”职业教育创新模式研究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何宽</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SKL-2019-2543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高职院校教学诊断与改进工作的研究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李伟娟</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SKL-2019-2570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论高职院校学生群团组织对校园文化建设的积极作用</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戚亮</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5</w:t>
            </w:r>
            <w:r>
              <w:rPr>
                <w:sz w:val="24"/>
                <w:szCs w:val="24"/>
              </w:rPr>
              <w:t>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SKL-2019-2595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新时期职业院校教师成长与发展的多维影响因素研究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王留奎</w:t>
            </w:r>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Pr>
                <w:sz w:val="24"/>
                <w:szCs w:val="24"/>
              </w:rPr>
              <w:t>59</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SKL-2019-2624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新时代背景下武术运动员思想政治教育创新方法与路径研究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许宗乐</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SKL-2019-2640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翻转式教学对大学生体质健康状况的影响性研究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刘虎</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SKL-2019-2670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课外游泳训练对高校学生体质健康影响的研究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李博柠</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SKL-2019-2760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精准扶贫视角下开封市体育扶贫路径创新性探析</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蒋晓絮</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SKL-2019-2925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河南省产业集聚区提质转型发展研究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任青丝</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SKL-2019-3024</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郑州国家中心城市科技创新评价研究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张玉玲</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5</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SKL-2019-3130</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河南农村环境污染整治对策研究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闫凯</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6</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SKL-2019-3221</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新时代下乡村振兴战略的实施路径和策略研究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王惠珠</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lastRenderedPageBreak/>
              <w:t>6</w:t>
            </w:r>
            <w:r>
              <w:rPr>
                <w:sz w:val="24"/>
                <w:szCs w:val="24"/>
              </w:rPr>
              <w:t>7</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SKL-2019-3222</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新时代乡村振兴人才因素探析</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王建设</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6</w:t>
            </w:r>
            <w:r>
              <w:rPr>
                <w:sz w:val="24"/>
                <w:szCs w:val="24"/>
              </w:rPr>
              <w:t>8</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SKL-2019-3278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乡村振兴视阈</w:t>
            </w:r>
            <w:proofErr w:type="gramStart"/>
            <w:r w:rsidRPr="00EA5086">
              <w:rPr>
                <w:rFonts w:hint="eastAsia"/>
                <w:sz w:val="24"/>
                <w:szCs w:val="24"/>
              </w:rPr>
              <w:t>下豫北农民</w:t>
            </w:r>
            <w:proofErr w:type="gramEnd"/>
            <w:r w:rsidRPr="00EA5086">
              <w:rPr>
                <w:rFonts w:hint="eastAsia"/>
                <w:sz w:val="24"/>
                <w:szCs w:val="24"/>
              </w:rPr>
              <w:t>集中居住研究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王名哲</w:t>
            </w:r>
            <w:proofErr w:type="gramEnd"/>
          </w:p>
        </w:tc>
      </w:tr>
      <w:tr w:rsidR="00EA5086" w:rsidRPr="00EA5086" w:rsidTr="00EA5086">
        <w:trPr>
          <w:trHeight w:val="559"/>
        </w:trPr>
        <w:tc>
          <w:tcPr>
            <w:tcW w:w="817" w:type="dxa"/>
            <w:noWrap/>
            <w:vAlign w:val="center"/>
            <w:hideMark/>
          </w:tcPr>
          <w:p w:rsidR="00EA5086" w:rsidRPr="00EA5086" w:rsidRDefault="00EA5086" w:rsidP="00E311B6">
            <w:pPr>
              <w:jc w:val="center"/>
              <w:rPr>
                <w:sz w:val="24"/>
                <w:szCs w:val="24"/>
              </w:rPr>
            </w:pPr>
            <w:r>
              <w:rPr>
                <w:sz w:val="24"/>
                <w:szCs w:val="24"/>
              </w:rPr>
              <w:t>69</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SKL-2019-3308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“新零售”背景下河南省传统零售企业转型升级策略研究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程云翔</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7</w:t>
            </w:r>
            <w:r>
              <w:rPr>
                <w:sz w:val="24"/>
                <w:szCs w:val="24"/>
              </w:rPr>
              <w:t>0</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SKL-2019-3403</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河南鸡公山风景区生态旅游开发的多尺度影响研究</w:t>
            </w:r>
          </w:p>
        </w:tc>
        <w:tc>
          <w:tcPr>
            <w:tcW w:w="2977" w:type="dxa"/>
            <w:noWrap/>
            <w:vAlign w:val="center"/>
            <w:hideMark/>
          </w:tcPr>
          <w:p w:rsidR="00EA5086" w:rsidRPr="00EA5086" w:rsidRDefault="00EA5086" w:rsidP="00E311B6">
            <w:pPr>
              <w:jc w:val="center"/>
              <w:rPr>
                <w:sz w:val="24"/>
                <w:szCs w:val="24"/>
              </w:rPr>
            </w:pPr>
            <w:proofErr w:type="gramStart"/>
            <w:r w:rsidRPr="00EA5086">
              <w:rPr>
                <w:rFonts w:hint="eastAsia"/>
                <w:sz w:val="24"/>
                <w:szCs w:val="24"/>
              </w:rPr>
              <w:t>尚晴</w:t>
            </w:r>
            <w:proofErr w:type="gramEnd"/>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7</w:t>
            </w:r>
            <w:r>
              <w:rPr>
                <w:sz w:val="24"/>
                <w:szCs w:val="24"/>
              </w:rPr>
              <w:t>1</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SKL-2019-3412</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河南省生态旅游景区经营模式创新研究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牛海燕</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7</w:t>
            </w:r>
            <w:r>
              <w:rPr>
                <w:sz w:val="24"/>
                <w:szCs w:val="24"/>
              </w:rPr>
              <w:t>2</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SKL-2019-3430</w:t>
            </w:r>
          </w:p>
        </w:tc>
        <w:tc>
          <w:tcPr>
            <w:tcW w:w="8788" w:type="dxa"/>
            <w:noWrap/>
            <w:vAlign w:val="center"/>
            <w:hideMark/>
          </w:tcPr>
          <w:p w:rsidR="00EA5086" w:rsidRPr="00EA5086" w:rsidRDefault="00EA5086" w:rsidP="00E311B6">
            <w:pPr>
              <w:jc w:val="left"/>
              <w:rPr>
                <w:sz w:val="24"/>
                <w:szCs w:val="24"/>
              </w:rPr>
            </w:pPr>
            <w:proofErr w:type="gramStart"/>
            <w:r w:rsidRPr="00EA5086">
              <w:rPr>
                <w:rFonts w:hint="eastAsia"/>
                <w:sz w:val="24"/>
                <w:szCs w:val="24"/>
              </w:rPr>
              <w:t>康养旅游资源</w:t>
            </w:r>
            <w:proofErr w:type="gramEnd"/>
            <w:r w:rsidRPr="00EA5086">
              <w:rPr>
                <w:rFonts w:hint="eastAsia"/>
                <w:sz w:val="24"/>
                <w:szCs w:val="24"/>
              </w:rPr>
              <w:t>调查与发展路径研究——以河南省为例</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闫曾</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7</w:t>
            </w:r>
            <w:r>
              <w:rPr>
                <w:sz w:val="24"/>
                <w:szCs w:val="24"/>
              </w:rPr>
              <w:t>3</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SKL-2019-3458</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中原乡村文化和乡村旅游发展研究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张晶晶</w:t>
            </w:r>
          </w:p>
        </w:tc>
      </w:tr>
      <w:tr w:rsidR="00EA5086" w:rsidRPr="00EA5086" w:rsidTr="00EA5086">
        <w:trPr>
          <w:trHeight w:val="559"/>
        </w:trPr>
        <w:tc>
          <w:tcPr>
            <w:tcW w:w="817" w:type="dxa"/>
            <w:noWrap/>
            <w:vAlign w:val="center"/>
            <w:hideMark/>
          </w:tcPr>
          <w:p w:rsidR="00EA5086" w:rsidRPr="00EA5086" w:rsidRDefault="00EA5086" w:rsidP="00EA5086">
            <w:pPr>
              <w:jc w:val="center"/>
              <w:rPr>
                <w:sz w:val="24"/>
                <w:szCs w:val="24"/>
              </w:rPr>
            </w:pPr>
            <w:r w:rsidRPr="00EA5086">
              <w:rPr>
                <w:rFonts w:hint="eastAsia"/>
                <w:sz w:val="24"/>
                <w:szCs w:val="24"/>
              </w:rPr>
              <w:t>7</w:t>
            </w:r>
            <w:r>
              <w:rPr>
                <w:sz w:val="24"/>
                <w:szCs w:val="24"/>
              </w:rPr>
              <w:t>4</w:t>
            </w:r>
          </w:p>
        </w:tc>
        <w:tc>
          <w:tcPr>
            <w:tcW w:w="2552" w:type="dxa"/>
            <w:noWrap/>
            <w:vAlign w:val="center"/>
            <w:hideMark/>
          </w:tcPr>
          <w:p w:rsidR="00EA5086" w:rsidRPr="00EA5086" w:rsidRDefault="00EA5086" w:rsidP="00E311B6">
            <w:pPr>
              <w:jc w:val="center"/>
              <w:rPr>
                <w:sz w:val="24"/>
                <w:szCs w:val="24"/>
              </w:rPr>
            </w:pPr>
            <w:r w:rsidRPr="00EA5086">
              <w:rPr>
                <w:rFonts w:hint="eastAsia"/>
                <w:sz w:val="24"/>
                <w:szCs w:val="24"/>
              </w:rPr>
              <w:t>SKL-2019-3475</w:t>
            </w:r>
          </w:p>
        </w:tc>
        <w:tc>
          <w:tcPr>
            <w:tcW w:w="8788" w:type="dxa"/>
            <w:noWrap/>
            <w:vAlign w:val="center"/>
            <w:hideMark/>
          </w:tcPr>
          <w:p w:rsidR="00EA5086" w:rsidRPr="00EA5086" w:rsidRDefault="00EA5086" w:rsidP="00E311B6">
            <w:pPr>
              <w:jc w:val="left"/>
              <w:rPr>
                <w:sz w:val="24"/>
                <w:szCs w:val="24"/>
              </w:rPr>
            </w:pPr>
            <w:r w:rsidRPr="00EA5086">
              <w:rPr>
                <w:rFonts w:hint="eastAsia"/>
                <w:sz w:val="24"/>
                <w:szCs w:val="24"/>
              </w:rPr>
              <w:t>共享经济时代下高校人力资源绩效管理创新路径研究</w:t>
            </w:r>
          </w:p>
        </w:tc>
        <w:tc>
          <w:tcPr>
            <w:tcW w:w="2977" w:type="dxa"/>
            <w:noWrap/>
            <w:vAlign w:val="center"/>
            <w:hideMark/>
          </w:tcPr>
          <w:p w:rsidR="00EA5086" w:rsidRPr="00EA5086" w:rsidRDefault="00EA5086" w:rsidP="00E311B6">
            <w:pPr>
              <w:jc w:val="center"/>
              <w:rPr>
                <w:sz w:val="24"/>
                <w:szCs w:val="24"/>
              </w:rPr>
            </w:pPr>
            <w:r w:rsidRPr="00EA5086">
              <w:rPr>
                <w:rFonts w:hint="eastAsia"/>
                <w:sz w:val="24"/>
                <w:szCs w:val="24"/>
              </w:rPr>
              <w:t>马菲菲</w:t>
            </w:r>
          </w:p>
        </w:tc>
      </w:tr>
    </w:tbl>
    <w:p w:rsidR="006301B0" w:rsidRPr="00EA5086" w:rsidRDefault="006301B0">
      <w:pPr>
        <w:rPr>
          <w:sz w:val="24"/>
          <w:szCs w:val="24"/>
        </w:rPr>
      </w:pPr>
    </w:p>
    <w:sectPr w:rsidR="006301B0" w:rsidRPr="00EA5086" w:rsidSect="00E311B6">
      <w:pgSz w:w="16838" w:h="11906" w:orient="landscape"/>
      <w:pgMar w:top="851" w:right="510" w:bottom="851" w:left="510" w:header="851" w:footer="992" w:gutter="284"/>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B6"/>
    <w:rsid w:val="006301B0"/>
    <w:rsid w:val="00E311B6"/>
    <w:rsid w:val="00EA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78BC"/>
  <w15:docId w15:val="{FF579EB6-1C0C-489E-9471-93EAC221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483</Words>
  <Characters>2759</Characters>
  <Application>Microsoft Office Word</Application>
  <DocSecurity>0</DocSecurity>
  <Lines>22</Lines>
  <Paragraphs>6</Paragraphs>
  <ScaleCrop>false</ScaleCrop>
  <Company>wimxt.com</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juice</cp:lastModifiedBy>
  <cp:revision>3</cp:revision>
  <dcterms:created xsi:type="dcterms:W3CDTF">2020-05-08T01:23:00Z</dcterms:created>
  <dcterms:modified xsi:type="dcterms:W3CDTF">2020-09-18T08:46:00Z</dcterms:modified>
</cp:coreProperties>
</file>