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4D" w:rsidRPr="00AB104D" w:rsidRDefault="00AB104D" w:rsidP="00AB104D">
      <w:pPr>
        <w:spacing w:afterLines="50" w:after="156"/>
        <w:jc w:val="center"/>
        <w:rPr>
          <w:rFonts w:asciiTheme="minorEastAsia" w:hAnsiTheme="minorEastAsia" w:hint="eastAsia"/>
          <w:b/>
          <w:sz w:val="36"/>
          <w:szCs w:val="36"/>
        </w:rPr>
      </w:pPr>
      <w:r w:rsidRPr="00AB104D">
        <w:rPr>
          <w:rFonts w:asciiTheme="minorEastAsia" w:hAnsiTheme="minorEastAsia" w:hint="eastAsia"/>
          <w:b/>
          <w:sz w:val="36"/>
          <w:szCs w:val="36"/>
        </w:rPr>
        <w:t>2020年</w:t>
      </w:r>
      <w:r w:rsidRPr="00AB104D">
        <w:rPr>
          <w:rFonts w:asciiTheme="minorEastAsia" w:hAnsiTheme="minorEastAsia"/>
          <w:b/>
          <w:sz w:val="36"/>
          <w:szCs w:val="36"/>
        </w:rPr>
        <w:t>河南省社科联调研课题立项一览表</w:t>
      </w:r>
    </w:p>
    <w:tbl>
      <w:tblPr>
        <w:tblStyle w:val="a5"/>
        <w:tblW w:w="0" w:type="auto"/>
        <w:tblLook w:val="04A0" w:firstRow="1" w:lastRow="0" w:firstColumn="1" w:lastColumn="0" w:noHBand="0" w:noVBand="1"/>
      </w:tblPr>
      <w:tblGrid>
        <w:gridCol w:w="1384"/>
        <w:gridCol w:w="10348"/>
        <w:gridCol w:w="2977"/>
      </w:tblGrid>
      <w:tr w:rsidR="00653287" w:rsidRPr="00653287" w:rsidTr="00D86CEA">
        <w:trPr>
          <w:trHeight w:val="555"/>
        </w:trPr>
        <w:tc>
          <w:tcPr>
            <w:tcW w:w="1384" w:type="dxa"/>
            <w:noWrap/>
            <w:vAlign w:val="center"/>
            <w:hideMark/>
          </w:tcPr>
          <w:p w:rsidR="00653287" w:rsidRPr="00653287" w:rsidRDefault="00653287" w:rsidP="004665D9">
            <w:pPr>
              <w:jc w:val="center"/>
              <w:rPr>
                <w:b/>
                <w:bCs/>
                <w:sz w:val="24"/>
                <w:szCs w:val="24"/>
              </w:rPr>
            </w:pPr>
            <w:r w:rsidRPr="00653287">
              <w:rPr>
                <w:rFonts w:hint="eastAsia"/>
                <w:b/>
                <w:bCs/>
                <w:sz w:val="24"/>
                <w:szCs w:val="24"/>
              </w:rPr>
              <w:t>序号</w:t>
            </w:r>
          </w:p>
        </w:tc>
        <w:tc>
          <w:tcPr>
            <w:tcW w:w="10348" w:type="dxa"/>
            <w:noWrap/>
            <w:vAlign w:val="center"/>
            <w:hideMark/>
          </w:tcPr>
          <w:p w:rsidR="00653287" w:rsidRPr="00653287" w:rsidRDefault="00653287" w:rsidP="004665D9">
            <w:pPr>
              <w:jc w:val="center"/>
              <w:rPr>
                <w:b/>
                <w:bCs/>
                <w:sz w:val="24"/>
                <w:szCs w:val="24"/>
              </w:rPr>
            </w:pPr>
            <w:r w:rsidRPr="00653287">
              <w:rPr>
                <w:rFonts w:hint="eastAsia"/>
                <w:b/>
                <w:bCs/>
                <w:sz w:val="24"/>
                <w:szCs w:val="24"/>
              </w:rPr>
              <w:t>课题名称</w:t>
            </w:r>
          </w:p>
        </w:tc>
        <w:tc>
          <w:tcPr>
            <w:tcW w:w="2977" w:type="dxa"/>
            <w:noWrap/>
            <w:vAlign w:val="center"/>
            <w:hideMark/>
          </w:tcPr>
          <w:p w:rsidR="00653287" w:rsidRPr="00653287" w:rsidRDefault="00653287" w:rsidP="004665D9">
            <w:pPr>
              <w:jc w:val="center"/>
              <w:rPr>
                <w:b/>
                <w:bCs/>
                <w:sz w:val="24"/>
                <w:szCs w:val="24"/>
              </w:rPr>
            </w:pPr>
            <w:r w:rsidRPr="00653287">
              <w:rPr>
                <w:rFonts w:hint="eastAsia"/>
                <w:b/>
                <w:bCs/>
                <w:sz w:val="24"/>
                <w:szCs w:val="24"/>
              </w:rPr>
              <w:t>课题主持人</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河南省政府支持创新发展的政策群协同性问题研究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丁云霞</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w:t>
            </w:r>
          </w:p>
        </w:tc>
        <w:tc>
          <w:tcPr>
            <w:tcW w:w="10348" w:type="dxa"/>
            <w:vAlign w:val="center"/>
            <w:hideMark/>
          </w:tcPr>
          <w:p w:rsidR="00653287" w:rsidRPr="00653287" w:rsidRDefault="00D86CEA" w:rsidP="004665D9">
            <w:pPr>
              <w:jc w:val="left"/>
              <w:rPr>
                <w:rFonts w:hint="eastAsia"/>
                <w:sz w:val="24"/>
                <w:szCs w:val="24"/>
              </w:rPr>
            </w:pPr>
            <w:r>
              <w:rPr>
                <w:rFonts w:hint="eastAsia"/>
                <w:sz w:val="24"/>
                <w:szCs w:val="24"/>
              </w:rPr>
              <w:t>乡村振兴</w:t>
            </w:r>
            <w:r>
              <w:rPr>
                <w:sz w:val="24"/>
                <w:szCs w:val="24"/>
              </w:rPr>
              <w:t>战略下农村生态环境污染现状治理研究</w:t>
            </w:r>
          </w:p>
        </w:tc>
        <w:tc>
          <w:tcPr>
            <w:tcW w:w="2977" w:type="dxa"/>
            <w:vAlign w:val="center"/>
            <w:hideMark/>
          </w:tcPr>
          <w:p w:rsidR="00653287" w:rsidRPr="00D86CEA" w:rsidRDefault="00D86CEA" w:rsidP="004665D9">
            <w:pPr>
              <w:jc w:val="center"/>
              <w:rPr>
                <w:rFonts w:hint="eastAsia"/>
                <w:sz w:val="24"/>
                <w:szCs w:val="24"/>
              </w:rPr>
            </w:pPr>
            <w:r w:rsidRPr="00D86CEA">
              <w:rPr>
                <w:rFonts w:hint="eastAsia"/>
                <w:sz w:val="24"/>
                <w:szCs w:val="24"/>
              </w:rPr>
              <w:t>程露</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新时代大学生友善价值观的培育研究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沈冰</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高校教工党支部党建与业务的融合途径探索</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卢俊青</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5</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积极老龄化视角下“老漂族”社会融入的实证研究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王进</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6</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兰考东坝头黄河生态和旅游景区建设关系研究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张晶晶</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7</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基于钻石模型的河南省黄河文化旅游品牌策略研究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苑伟娟</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8</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新型冠状病毒后大学生心理素质提升研究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赵慧娟</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9</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大数据时代提升社会公德治理实效性研究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于齐</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10</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“课程思政”背景下思政课程发展探究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李现丽</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11</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高校思想政治理论课讲好中国故事问题研究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李瑞娟</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12</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乡村振兴背景下科技助推农业高质量发展实现路径研究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孟卫兵</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13</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生态文明体系下的自然资源统一确权登记制度研究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李洪超</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14</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基于职业院校高素质技能人才培养的课程结构性改革与建设研究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董晓燕</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15</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基于</w:t>
            </w:r>
            <w:r w:rsidRPr="00653287">
              <w:rPr>
                <w:rFonts w:hint="eastAsia"/>
                <w:sz w:val="24"/>
                <w:szCs w:val="24"/>
              </w:rPr>
              <w:t>SPOC</w:t>
            </w:r>
            <w:r w:rsidRPr="00653287">
              <w:rPr>
                <w:rFonts w:hint="eastAsia"/>
                <w:sz w:val="24"/>
                <w:szCs w:val="24"/>
              </w:rPr>
              <w:t>混合式教学模式下高职教师角色转变的实现路径研究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赵柯柯</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lastRenderedPageBreak/>
              <w:t>16</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“互联网</w:t>
            </w:r>
            <w:r w:rsidRPr="00653287">
              <w:rPr>
                <w:rFonts w:hint="eastAsia"/>
                <w:sz w:val="24"/>
                <w:szCs w:val="24"/>
              </w:rPr>
              <w:t>+</w:t>
            </w:r>
            <w:r w:rsidRPr="00653287">
              <w:rPr>
                <w:rFonts w:hint="eastAsia"/>
                <w:sz w:val="24"/>
                <w:szCs w:val="24"/>
              </w:rPr>
              <w:t>”背景下如何加强和改进高校基层党建工作</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王恺</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17</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新时代农村职业教育服务乡村振兴战略实施的路径研究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李玲玲</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18</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“去中心”网络社会中大学生媒介素养现状与提升路径研究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孟宪金</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19</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高校学生干部综合素质培养体系研究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靳童瑶</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20</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基于绿色发展理念的黄河流域生态护坡新模式研究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韩晓育</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21</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中华优秀传统文化中“水文化”的传承与发展</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曹京京</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22</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新媒体环境下当代大学生黄河水文化培育研究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秦净净</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23</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新时期高校党内法规制度执行力建设研究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王忠伟</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24</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城市老年人社区居家养老服务需求层次和供给优先序研究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高珺</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25</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基于区域资源差异及空间格局特征的文化与旅游产业融合发展实现路径研究</w:t>
            </w:r>
            <w:r w:rsidRPr="00653287">
              <w:rPr>
                <w:rFonts w:hint="eastAsia"/>
                <w:sz w:val="24"/>
                <w:szCs w:val="24"/>
              </w:rPr>
              <w:t>--</w:t>
            </w:r>
            <w:r w:rsidRPr="00653287">
              <w:rPr>
                <w:rFonts w:hint="eastAsia"/>
                <w:sz w:val="24"/>
                <w:szCs w:val="24"/>
              </w:rPr>
              <w:t>以河南省为例</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韩欢乐</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26</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高职院校专业群高质量发展保障机制及评价指标研究与实践</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王磊</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27</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管办评分离下第三方参与河南省高等职业教育评价的机制与路径研究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郭豪杰</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28</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“十四五”河南教育与制造业高质量融合发展研究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曹永娣</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29</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双创背景下大学生社会责任感培育研究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李良玉</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30</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高职院校教学质量评价机制的研究与实践</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李伟娟</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31</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高职院校体育教学对提升大学生体育核心素养的影响性研究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李博柠</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32</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新时代高职院校体育发展的使命、困境与对策</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冯建</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lastRenderedPageBreak/>
              <w:t>33</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社会力量参与公共阅读空间建设准入机制研究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刘素军</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34</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新时代高职高专院校大学生思想政治教育的现状与对策研究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陈志冉</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35</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手机成瘾倾向对大学生在线学习成绩影响的追踪研究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王超</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36</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基于目标管理理念的高职院校内部质量保证体系研究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刘许亮</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37</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推动粮食产业链、价值链、供应链“三链同构”问题研究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聂大勇</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38</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读图时代的汉字审美与现代平面设计应用研究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陈豫</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39</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本土文化视角下品牌视觉识别设计研究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李蒍韦</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40</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互联网</w:t>
            </w:r>
            <w:r w:rsidRPr="00653287">
              <w:rPr>
                <w:rFonts w:hint="eastAsia"/>
                <w:sz w:val="24"/>
                <w:szCs w:val="24"/>
              </w:rPr>
              <w:t>+</w:t>
            </w:r>
            <w:r w:rsidRPr="00653287">
              <w:rPr>
                <w:rFonts w:hint="eastAsia"/>
                <w:sz w:val="24"/>
                <w:szCs w:val="24"/>
              </w:rPr>
              <w:t>背景下河南民间美术产业化路径研究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周倩</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41</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基于移动互联网的音乐启蒙课程研究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李冰</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42</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基于传统文化视域下特许纪念品设计研究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杨雪吟</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43</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高考改革背景下生涯规划教育研究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龚向哲</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44</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会计专业毕业生就业能力浅析</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务琨</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45</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新时代高校扩大基层党组织覆盖面的探索与创新研究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王振强</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46</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“互联网</w:t>
            </w:r>
            <w:r w:rsidRPr="00653287">
              <w:rPr>
                <w:rFonts w:hint="eastAsia"/>
                <w:sz w:val="24"/>
                <w:szCs w:val="24"/>
              </w:rPr>
              <w:t>+</w:t>
            </w:r>
            <w:r w:rsidRPr="00653287">
              <w:rPr>
                <w:rFonts w:hint="eastAsia"/>
                <w:sz w:val="24"/>
                <w:szCs w:val="24"/>
              </w:rPr>
              <w:t>”环境下河南省现代农业发展战略研究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雷曼</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47</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“两个健康”背景下促进河南民营经济高质量发展的策略研究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闫艳</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48</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新冠肺炎疫情对我国就业的影响分析及对策建议</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冯元</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49</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新时代高校基层党组织建设研究</w:t>
            </w:r>
            <w:bookmarkStart w:id="0" w:name="_GoBack"/>
            <w:bookmarkEnd w:id="0"/>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焦东良</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lastRenderedPageBreak/>
              <w:t>50</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高校廉政文化建设研究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殷莺</w:t>
            </w:r>
          </w:p>
        </w:tc>
      </w:tr>
      <w:tr w:rsidR="00653287" w:rsidRPr="00653287" w:rsidTr="00D86CEA">
        <w:trPr>
          <w:trHeight w:val="499"/>
        </w:trPr>
        <w:tc>
          <w:tcPr>
            <w:tcW w:w="1384" w:type="dxa"/>
            <w:vAlign w:val="center"/>
            <w:hideMark/>
          </w:tcPr>
          <w:p w:rsidR="00653287" w:rsidRPr="00653287" w:rsidRDefault="00D158F0" w:rsidP="004665D9">
            <w:pPr>
              <w:jc w:val="center"/>
              <w:rPr>
                <w:sz w:val="24"/>
                <w:szCs w:val="24"/>
              </w:rPr>
            </w:pPr>
            <w:r>
              <w:rPr>
                <w:sz w:val="24"/>
                <w:szCs w:val="24"/>
              </w:rPr>
              <w:t>51</w:t>
            </w:r>
          </w:p>
        </w:tc>
        <w:tc>
          <w:tcPr>
            <w:tcW w:w="10348" w:type="dxa"/>
            <w:vAlign w:val="center"/>
            <w:hideMark/>
          </w:tcPr>
          <w:p w:rsidR="00653287" w:rsidRPr="00653287" w:rsidRDefault="00653287" w:rsidP="004665D9">
            <w:pPr>
              <w:jc w:val="left"/>
              <w:rPr>
                <w:sz w:val="24"/>
                <w:szCs w:val="24"/>
              </w:rPr>
            </w:pPr>
            <w:r w:rsidRPr="00653287">
              <w:rPr>
                <w:rFonts w:hint="eastAsia"/>
                <w:sz w:val="24"/>
                <w:szCs w:val="24"/>
              </w:rPr>
              <w:t>乡村振兴战略视域下我省平安乡村建设实证研究</w:t>
            </w:r>
          </w:p>
        </w:tc>
        <w:tc>
          <w:tcPr>
            <w:tcW w:w="2977" w:type="dxa"/>
            <w:vAlign w:val="center"/>
            <w:hideMark/>
          </w:tcPr>
          <w:p w:rsidR="00653287" w:rsidRPr="00D86CEA" w:rsidRDefault="00653287" w:rsidP="004665D9">
            <w:pPr>
              <w:jc w:val="center"/>
              <w:rPr>
                <w:sz w:val="24"/>
                <w:szCs w:val="24"/>
              </w:rPr>
            </w:pPr>
            <w:r w:rsidRPr="00D86CEA">
              <w:rPr>
                <w:rFonts w:hint="eastAsia"/>
                <w:sz w:val="24"/>
                <w:szCs w:val="24"/>
              </w:rPr>
              <w:t>曹玉华</w:t>
            </w:r>
          </w:p>
        </w:tc>
      </w:tr>
    </w:tbl>
    <w:p w:rsidR="003F0969" w:rsidRDefault="003F0969"/>
    <w:sectPr w:rsidR="003F0969" w:rsidSect="004665D9">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BD" w:rsidRDefault="007F3CBD" w:rsidP="006B5168">
      <w:r>
        <w:separator/>
      </w:r>
    </w:p>
  </w:endnote>
  <w:endnote w:type="continuationSeparator" w:id="0">
    <w:p w:rsidR="007F3CBD" w:rsidRDefault="007F3CBD" w:rsidP="006B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BD" w:rsidRDefault="007F3CBD" w:rsidP="006B5168">
      <w:r>
        <w:separator/>
      </w:r>
    </w:p>
  </w:footnote>
  <w:footnote w:type="continuationSeparator" w:id="0">
    <w:p w:rsidR="007F3CBD" w:rsidRDefault="007F3CBD" w:rsidP="006B5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D9"/>
    <w:rsid w:val="000F1070"/>
    <w:rsid w:val="0034226E"/>
    <w:rsid w:val="003F0969"/>
    <w:rsid w:val="004665D9"/>
    <w:rsid w:val="00653287"/>
    <w:rsid w:val="006B5168"/>
    <w:rsid w:val="007F3CBD"/>
    <w:rsid w:val="00AB104D"/>
    <w:rsid w:val="00D158F0"/>
    <w:rsid w:val="00D8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375D0"/>
  <w15:docId w15:val="{008B07CC-8D8D-4181-8E69-6E1D4194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5D9"/>
    <w:rPr>
      <w:color w:val="0000FF"/>
      <w:u w:val="single"/>
    </w:rPr>
  </w:style>
  <w:style w:type="character" w:styleId="a4">
    <w:name w:val="FollowedHyperlink"/>
    <w:basedOn w:val="a0"/>
    <w:uiPriority w:val="99"/>
    <w:semiHidden/>
    <w:unhideWhenUsed/>
    <w:rsid w:val="004665D9"/>
    <w:rPr>
      <w:color w:val="800080"/>
      <w:u w:val="single"/>
    </w:rPr>
  </w:style>
  <w:style w:type="paragraph" w:customStyle="1" w:styleId="font5">
    <w:name w:val="font5"/>
    <w:basedOn w:val="a"/>
    <w:rsid w:val="004665D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4665D9"/>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4665D9"/>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4665D9"/>
    <w:pPr>
      <w:widowControl/>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69">
    <w:name w:val="xl69"/>
    <w:basedOn w:val="a"/>
    <w:rsid w:val="004665D9"/>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rsid w:val="004665D9"/>
    <w:pPr>
      <w:widowControl/>
      <w:pBdr>
        <w:bottom w:val="single" w:sz="4" w:space="0" w:color="auto"/>
      </w:pBdr>
      <w:spacing w:before="100" w:beforeAutospacing="1" w:after="100" w:afterAutospacing="1"/>
      <w:jc w:val="left"/>
      <w:textAlignment w:val="center"/>
    </w:pPr>
    <w:rPr>
      <w:rFonts w:ascii="宋体" w:eastAsia="宋体" w:hAnsi="宋体" w:cs="宋体"/>
      <w:b/>
      <w:bCs/>
      <w:kern w:val="0"/>
      <w:sz w:val="28"/>
      <w:szCs w:val="28"/>
    </w:rPr>
  </w:style>
  <w:style w:type="paragraph" w:customStyle="1" w:styleId="xl71">
    <w:name w:val="xl71"/>
    <w:basedOn w:val="a"/>
    <w:rsid w:val="004665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72">
    <w:name w:val="xl72"/>
    <w:basedOn w:val="a"/>
    <w:rsid w:val="004665D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73">
    <w:name w:val="xl73"/>
    <w:basedOn w:val="a"/>
    <w:rsid w:val="004665D9"/>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74">
    <w:name w:val="xl74"/>
    <w:basedOn w:val="a"/>
    <w:rsid w:val="004665D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75">
    <w:name w:val="xl75"/>
    <w:basedOn w:val="a"/>
    <w:rsid w:val="004665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6">
    <w:name w:val="xl76"/>
    <w:basedOn w:val="a"/>
    <w:rsid w:val="004665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7">
    <w:name w:val="xl77"/>
    <w:basedOn w:val="a"/>
    <w:rsid w:val="004665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rsid w:val="004665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rsid w:val="004665D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0">
    <w:name w:val="xl80"/>
    <w:basedOn w:val="a"/>
    <w:rsid w:val="004665D9"/>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1">
    <w:name w:val="xl81"/>
    <w:basedOn w:val="a"/>
    <w:rsid w:val="004665D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2">
    <w:name w:val="xl82"/>
    <w:basedOn w:val="a"/>
    <w:rsid w:val="004665D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3">
    <w:name w:val="xl83"/>
    <w:basedOn w:val="a"/>
    <w:rsid w:val="004665D9"/>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4">
    <w:name w:val="xl84"/>
    <w:basedOn w:val="a"/>
    <w:rsid w:val="004665D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5">
    <w:name w:val="xl85"/>
    <w:basedOn w:val="a"/>
    <w:rsid w:val="004665D9"/>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6">
    <w:name w:val="xl86"/>
    <w:basedOn w:val="a"/>
    <w:rsid w:val="004665D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table" w:styleId="a5">
    <w:name w:val="Table Grid"/>
    <w:basedOn w:val="a1"/>
    <w:uiPriority w:val="59"/>
    <w:rsid w:val="0046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516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B5168"/>
    <w:rPr>
      <w:sz w:val="18"/>
      <w:szCs w:val="18"/>
    </w:rPr>
  </w:style>
  <w:style w:type="paragraph" w:styleId="a8">
    <w:name w:val="footer"/>
    <w:basedOn w:val="a"/>
    <w:link w:val="a9"/>
    <w:uiPriority w:val="99"/>
    <w:unhideWhenUsed/>
    <w:rsid w:val="006B5168"/>
    <w:pPr>
      <w:tabs>
        <w:tab w:val="center" w:pos="4153"/>
        <w:tab w:val="right" w:pos="8306"/>
      </w:tabs>
      <w:snapToGrid w:val="0"/>
      <w:jc w:val="left"/>
    </w:pPr>
    <w:rPr>
      <w:sz w:val="18"/>
      <w:szCs w:val="18"/>
    </w:rPr>
  </w:style>
  <w:style w:type="character" w:customStyle="1" w:styleId="a9">
    <w:name w:val="页脚 字符"/>
    <w:basedOn w:val="a0"/>
    <w:link w:val="a8"/>
    <w:uiPriority w:val="99"/>
    <w:rsid w:val="006B51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232</Words>
  <Characters>1324</Characters>
  <Application>Microsoft Office Word</Application>
  <DocSecurity>0</DocSecurity>
  <Lines>11</Lines>
  <Paragraphs>3</Paragraphs>
  <ScaleCrop>false</ScaleCrop>
  <Company>wimxt.com</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juice</cp:lastModifiedBy>
  <cp:revision>6</cp:revision>
  <dcterms:created xsi:type="dcterms:W3CDTF">2020-05-15T02:05:00Z</dcterms:created>
  <dcterms:modified xsi:type="dcterms:W3CDTF">2020-09-21T02:25:00Z</dcterms:modified>
</cp:coreProperties>
</file>